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8E" w:rsidRDefault="00AC148E" w:rsidP="009A0800">
      <w:pPr>
        <w:tabs>
          <w:tab w:val="left" w:pos="3396"/>
        </w:tabs>
        <w:spacing w:after="0"/>
        <w:jc w:val="center"/>
        <w:rPr>
          <w:b/>
          <w:sz w:val="23"/>
          <w:szCs w:val="23"/>
        </w:rPr>
      </w:pPr>
    </w:p>
    <w:p w:rsidR="006C7099" w:rsidRPr="006C7099" w:rsidRDefault="006C7099" w:rsidP="006C7099">
      <w:pPr>
        <w:pStyle w:val="NormalWeb"/>
        <w:jc w:val="center"/>
        <w:rPr>
          <w:rFonts w:asciiTheme="minorHAnsi" w:hAnsiTheme="minorHAnsi" w:cstheme="minorHAnsi"/>
          <w:sz w:val="27"/>
          <w:szCs w:val="27"/>
          <w:u w:val="single"/>
        </w:rPr>
      </w:pPr>
      <w:r w:rsidRPr="006C7099">
        <w:rPr>
          <w:rFonts w:asciiTheme="minorHAnsi" w:hAnsiTheme="minorHAnsi" w:cstheme="minorHAnsi"/>
          <w:sz w:val="27"/>
          <w:szCs w:val="27"/>
          <w:u w:val="single"/>
        </w:rPr>
        <w:t xml:space="preserve">Pólo Turismo 2015 partilha experiência com outros </w:t>
      </w:r>
      <w:proofErr w:type="spellStart"/>
      <w:r w:rsidRPr="006C7099">
        <w:rPr>
          <w:rFonts w:asciiTheme="minorHAnsi" w:hAnsiTheme="minorHAnsi" w:cstheme="minorHAnsi"/>
          <w:sz w:val="27"/>
          <w:szCs w:val="27"/>
          <w:u w:val="single"/>
        </w:rPr>
        <w:t>Pólos</w:t>
      </w:r>
      <w:proofErr w:type="spellEnd"/>
      <w:r w:rsidRPr="006C7099">
        <w:rPr>
          <w:rFonts w:asciiTheme="minorHAnsi" w:hAnsiTheme="minorHAnsi" w:cstheme="minorHAnsi"/>
          <w:sz w:val="27"/>
          <w:szCs w:val="27"/>
          <w:u w:val="single"/>
        </w:rPr>
        <w:t xml:space="preserve"> e Clusters</w:t>
      </w:r>
    </w:p>
    <w:p w:rsidR="005E56B6" w:rsidRDefault="005E56B6" w:rsidP="005E56B6">
      <w:pPr>
        <w:tabs>
          <w:tab w:val="left" w:pos="3396"/>
        </w:tabs>
        <w:spacing w:after="0"/>
        <w:jc w:val="center"/>
        <w:rPr>
          <w:sz w:val="23"/>
          <w:szCs w:val="23"/>
        </w:rPr>
      </w:pPr>
    </w:p>
    <w:p w:rsidR="00C306F9" w:rsidRPr="00C306F9" w:rsidRDefault="00C306F9" w:rsidP="00C306F9">
      <w:pPr>
        <w:pStyle w:val="NormalWeb"/>
        <w:jc w:val="both"/>
        <w:rPr>
          <w:rFonts w:asciiTheme="minorHAnsi" w:hAnsiTheme="minorHAnsi" w:cstheme="minorHAnsi"/>
          <w:sz w:val="23"/>
          <w:szCs w:val="23"/>
        </w:rPr>
      </w:pPr>
      <w:r w:rsidRPr="00C306F9">
        <w:rPr>
          <w:rFonts w:asciiTheme="minorHAnsi" w:hAnsiTheme="minorHAnsi" w:cstheme="minorHAnsi"/>
          <w:sz w:val="23"/>
          <w:szCs w:val="23"/>
        </w:rPr>
        <w:t>O Pólo “Turismo 2015” - estratégia de eficiência coletiva para o setor do Turismo - vai dar a conhecer, no dia 20, no Porto, os projetos aprovados em 2010 e 2011 ao abrigo deste programa.</w:t>
      </w:r>
    </w:p>
    <w:p w:rsidR="00C306F9" w:rsidRPr="00C306F9" w:rsidRDefault="00C306F9" w:rsidP="00C306F9">
      <w:pPr>
        <w:pStyle w:val="NormalWeb"/>
        <w:jc w:val="both"/>
        <w:rPr>
          <w:rFonts w:asciiTheme="minorHAnsi" w:hAnsiTheme="minorHAnsi" w:cstheme="minorHAnsi"/>
          <w:sz w:val="23"/>
          <w:szCs w:val="23"/>
        </w:rPr>
      </w:pPr>
      <w:r w:rsidRPr="00C306F9">
        <w:rPr>
          <w:rFonts w:asciiTheme="minorHAnsi" w:hAnsiTheme="minorHAnsi" w:cstheme="minorHAnsi"/>
          <w:sz w:val="23"/>
          <w:szCs w:val="23"/>
        </w:rPr>
        <w:t xml:space="preserve">A apresentação decorre no âmbito da Sessão “Competitividade e Internacionalização: O papel dos </w:t>
      </w:r>
      <w:proofErr w:type="spellStart"/>
      <w:r w:rsidRPr="00C306F9">
        <w:rPr>
          <w:rFonts w:asciiTheme="minorHAnsi" w:hAnsiTheme="minorHAnsi" w:cstheme="minorHAnsi"/>
          <w:sz w:val="23"/>
          <w:szCs w:val="23"/>
        </w:rPr>
        <w:t>Pólos</w:t>
      </w:r>
      <w:proofErr w:type="spellEnd"/>
      <w:r w:rsidRPr="00C306F9">
        <w:rPr>
          <w:rFonts w:asciiTheme="minorHAnsi" w:hAnsiTheme="minorHAnsi" w:cstheme="minorHAnsi"/>
          <w:sz w:val="23"/>
          <w:szCs w:val="23"/>
        </w:rPr>
        <w:t xml:space="preserve"> de Competitividade e Clusters”, promovida pelo COMPETE, em articulação com a Secretaria de Estado do Empreendedorismo, Competitividade e Inovação e o Ministério da Economia e Emprego.</w:t>
      </w:r>
    </w:p>
    <w:p w:rsidR="00C306F9" w:rsidRPr="00C306F9" w:rsidRDefault="00C306F9" w:rsidP="00C306F9">
      <w:pPr>
        <w:pStyle w:val="NormalWeb"/>
        <w:jc w:val="both"/>
        <w:rPr>
          <w:rFonts w:asciiTheme="minorHAnsi" w:hAnsiTheme="minorHAnsi" w:cstheme="minorHAnsi"/>
          <w:sz w:val="23"/>
          <w:szCs w:val="23"/>
        </w:rPr>
      </w:pPr>
      <w:r w:rsidRPr="00C306F9">
        <w:rPr>
          <w:rFonts w:asciiTheme="minorHAnsi" w:hAnsiTheme="minorHAnsi" w:cstheme="minorHAnsi"/>
          <w:sz w:val="23"/>
          <w:szCs w:val="23"/>
        </w:rPr>
        <w:t xml:space="preserve">Durante a iniciativa, o Pólo “Turismo 2015” dará a conhecer aos restantes </w:t>
      </w:r>
      <w:proofErr w:type="spellStart"/>
      <w:r w:rsidRPr="00C306F9">
        <w:rPr>
          <w:rFonts w:asciiTheme="minorHAnsi" w:hAnsiTheme="minorHAnsi" w:cstheme="minorHAnsi"/>
          <w:sz w:val="23"/>
          <w:szCs w:val="23"/>
        </w:rPr>
        <w:t>Pólos</w:t>
      </w:r>
      <w:proofErr w:type="spellEnd"/>
      <w:r w:rsidRPr="00C306F9">
        <w:rPr>
          <w:rFonts w:asciiTheme="minorHAnsi" w:hAnsiTheme="minorHAnsi" w:cstheme="minorHAnsi"/>
          <w:sz w:val="23"/>
          <w:szCs w:val="23"/>
        </w:rPr>
        <w:t xml:space="preserve"> de Competitividade, Clusters e ao público presente a avaliação da experiência atual, os principais resultados em termos de rede/ trabalho cooperativo/ eficiência coletiva e as linhas estratégicas para o futuro a nível de Inovação e I&amp;D e internacionalização</w:t>
      </w:r>
    </w:p>
    <w:p w:rsidR="00C306F9" w:rsidRPr="00C306F9" w:rsidRDefault="00C306F9" w:rsidP="00C306F9">
      <w:pPr>
        <w:pStyle w:val="NormalWeb"/>
        <w:jc w:val="both"/>
        <w:rPr>
          <w:rFonts w:asciiTheme="minorHAnsi" w:hAnsiTheme="minorHAnsi" w:cstheme="minorHAnsi"/>
          <w:sz w:val="23"/>
          <w:szCs w:val="23"/>
        </w:rPr>
      </w:pPr>
      <w:r w:rsidRPr="00C306F9">
        <w:rPr>
          <w:rFonts w:asciiTheme="minorHAnsi" w:hAnsiTheme="minorHAnsi" w:cstheme="minorHAnsi"/>
          <w:sz w:val="23"/>
          <w:szCs w:val="23"/>
        </w:rPr>
        <w:t>Em paralelo, o Pólo estará representado numa exposição que decorre no âmbito do encontro e onde o visitante poderá conhecer alguns detalhes dos projetos complementares desenvolvidos ao abrigo do “Turismo 2015”, com destaque para os projetos ao abrigo dos Sistemas de Incentivos à Inovação.</w:t>
      </w:r>
    </w:p>
    <w:p w:rsidR="00C306F9" w:rsidRPr="00C306F9" w:rsidRDefault="00C306F9" w:rsidP="00C306F9">
      <w:pPr>
        <w:pStyle w:val="NormalWeb"/>
        <w:jc w:val="both"/>
        <w:rPr>
          <w:rFonts w:asciiTheme="minorHAnsi" w:hAnsiTheme="minorHAnsi" w:cstheme="minorHAnsi"/>
          <w:sz w:val="23"/>
          <w:szCs w:val="23"/>
        </w:rPr>
      </w:pPr>
      <w:r w:rsidRPr="00C306F9">
        <w:rPr>
          <w:rFonts w:asciiTheme="minorHAnsi" w:hAnsiTheme="minorHAnsi" w:cstheme="minorHAnsi"/>
          <w:sz w:val="23"/>
          <w:szCs w:val="23"/>
        </w:rPr>
        <w:t xml:space="preserve">Entre 2010 e 2011 o número de candidaturas aprovadas no contexto do Turismo 2015 a estes Sistemas de Incentivos ascendeu a 60, registando-se a atribuição de um cofinanciamento de 153,5 milhões de euros ao abrigo do QREN. </w:t>
      </w:r>
    </w:p>
    <w:p w:rsidR="00C306F9" w:rsidRPr="00C306F9" w:rsidRDefault="00C306F9" w:rsidP="00C306F9">
      <w:pPr>
        <w:pStyle w:val="NormalWeb"/>
        <w:jc w:val="both"/>
        <w:rPr>
          <w:rFonts w:asciiTheme="minorHAnsi" w:hAnsiTheme="minorHAnsi" w:cstheme="minorHAnsi"/>
          <w:sz w:val="23"/>
          <w:szCs w:val="23"/>
        </w:rPr>
      </w:pPr>
      <w:r w:rsidRPr="00C306F9">
        <w:rPr>
          <w:rFonts w:asciiTheme="minorHAnsi" w:hAnsiTheme="minorHAnsi" w:cstheme="minorHAnsi"/>
          <w:sz w:val="23"/>
          <w:szCs w:val="23"/>
        </w:rPr>
        <w:t>Com esta exposição, o Turismo 2015 pretende dar a conhecer os projetos apoiados e, desta forma, realçar as vantagens, para os representantes do setor, de se integrarem num Polo, nomeadamente sistemas de incentivos aos objetivos estratégicos, acesso preferencial aos objetivos de apoio financeiro, apoio majorado nos sistemas de incentivos.</w:t>
      </w:r>
    </w:p>
    <w:p w:rsidR="00C306F9" w:rsidRPr="00C306F9" w:rsidRDefault="00C306F9" w:rsidP="00C306F9">
      <w:pPr>
        <w:pStyle w:val="NormalWeb"/>
        <w:jc w:val="both"/>
        <w:rPr>
          <w:rFonts w:asciiTheme="minorHAnsi" w:hAnsiTheme="minorHAnsi" w:cstheme="minorHAnsi"/>
          <w:sz w:val="23"/>
          <w:szCs w:val="23"/>
        </w:rPr>
      </w:pPr>
      <w:r w:rsidRPr="00C306F9">
        <w:rPr>
          <w:rFonts w:asciiTheme="minorHAnsi" w:hAnsiTheme="minorHAnsi" w:cstheme="minorHAnsi"/>
          <w:sz w:val="23"/>
          <w:szCs w:val="23"/>
        </w:rPr>
        <w:t>Além de dar a conhecer os projetos aos representantes do tecido socioeconómico, esta ação pretende estimular o seu interesse pelos objetivos pelo Turismo de 2015, e contribuir para dinamizar outras atividades que se enquadrem na prossecução dos objetivos desta estratégia de eficiência coletiva.</w:t>
      </w:r>
    </w:p>
    <w:p w:rsidR="00C306F9" w:rsidRPr="00C306F9" w:rsidRDefault="00C306F9" w:rsidP="00C306F9">
      <w:pPr>
        <w:pStyle w:val="NormalWeb"/>
        <w:jc w:val="both"/>
        <w:rPr>
          <w:rFonts w:asciiTheme="minorHAnsi" w:hAnsiTheme="minorHAnsi" w:cstheme="minorHAnsi"/>
          <w:sz w:val="23"/>
          <w:szCs w:val="23"/>
        </w:rPr>
      </w:pPr>
    </w:p>
    <w:p w:rsidR="00C306F9" w:rsidRPr="00C306F9" w:rsidRDefault="00C306F9" w:rsidP="00C306F9">
      <w:pPr>
        <w:pStyle w:val="NormalWeb"/>
        <w:jc w:val="both"/>
        <w:rPr>
          <w:rFonts w:asciiTheme="minorHAnsi" w:hAnsiTheme="minorHAnsi" w:cstheme="minorHAnsi"/>
          <w:b/>
          <w:sz w:val="23"/>
          <w:szCs w:val="23"/>
        </w:rPr>
      </w:pPr>
      <w:r w:rsidRPr="00C306F9">
        <w:rPr>
          <w:rFonts w:asciiTheme="minorHAnsi" w:hAnsiTheme="minorHAnsi" w:cstheme="minorHAnsi"/>
          <w:b/>
          <w:sz w:val="23"/>
          <w:szCs w:val="23"/>
        </w:rPr>
        <w:t xml:space="preserve">. Sessão “Competitividade e Internacionalização: O papel dos </w:t>
      </w:r>
      <w:proofErr w:type="spellStart"/>
      <w:r w:rsidRPr="00C306F9">
        <w:rPr>
          <w:rFonts w:asciiTheme="minorHAnsi" w:hAnsiTheme="minorHAnsi" w:cstheme="minorHAnsi"/>
          <w:b/>
          <w:sz w:val="23"/>
          <w:szCs w:val="23"/>
        </w:rPr>
        <w:t>Pólos</w:t>
      </w:r>
      <w:proofErr w:type="spellEnd"/>
      <w:r w:rsidRPr="00C306F9">
        <w:rPr>
          <w:rFonts w:asciiTheme="minorHAnsi" w:hAnsiTheme="minorHAnsi" w:cstheme="minorHAnsi"/>
          <w:b/>
          <w:sz w:val="23"/>
          <w:szCs w:val="23"/>
        </w:rPr>
        <w:t xml:space="preserve"> de Competitividade e Clusters”</w:t>
      </w:r>
    </w:p>
    <w:p w:rsidR="00C306F9" w:rsidRPr="00C306F9" w:rsidRDefault="00C306F9" w:rsidP="00C306F9">
      <w:pPr>
        <w:pStyle w:val="NormalWeb"/>
        <w:jc w:val="both"/>
        <w:rPr>
          <w:rFonts w:asciiTheme="minorHAnsi" w:hAnsiTheme="minorHAnsi" w:cstheme="minorHAnsi"/>
          <w:b/>
          <w:sz w:val="23"/>
          <w:szCs w:val="23"/>
        </w:rPr>
      </w:pPr>
      <w:r w:rsidRPr="00C306F9">
        <w:rPr>
          <w:rFonts w:asciiTheme="minorHAnsi" w:hAnsiTheme="minorHAnsi" w:cstheme="minorHAnsi"/>
          <w:b/>
          <w:sz w:val="23"/>
          <w:szCs w:val="23"/>
        </w:rPr>
        <w:t>. Apresentação dos Projetos do Polo Turismo 2015</w:t>
      </w:r>
    </w:p>
    <w:p w:rsidR="00C306F9" w:rsidRPr="00C306F9" w:rsidRDefault="00C306F9" w:rsidP="00C306F9">
      <w:pPr>
        <w:pStyle w:val="NormalWeb"/>
        <w:jc w:val="both"/>
        <w:rPr>
          <w:rFonts w:asciiTheme="minorHAnsi" w:hAnsiTheme="minorHAnsi" w:cstheme="minorHAnsi"/>
          <w:b/>
          <w:sz w:val="23"/>
          <w:szCs w:val="23"/>
        </w:rPr>
      </w:pPr>
      <w:r w:rsidRPr="00C306F9">
        <w:rPr>
          <w:rFonts w:asciiTheme="minorHAnsi" w:hAnsiTheme="minorHAnsi" w:cstheme="minorHAnsi"/>
          <w:b/>
          <w:sz w:val="23"/>
          <w:szCs w:val="23"/>
        </w:rPr>
        <w:lastRenderedPageBreak/>
        <w:t xml:space="preserve">. 20 </w:t>
      </w:r>
      <w:proofErr w:type="gramStart"/>
      <w:r w:rsidRPr="00C306F9">
        <w:rPr>
          <w:rFonts w:asciiTheme="minorHAnsi" w:hAnsiTheme="minorHAnsi" w:cstheme="minorHAnsi"/>
          <w:b/>
          <w:sz w:val="23"/>
          <w:szCs w:val="23"/>
        </w:rPr>
        <w:t>de</w:t>
      </w:r>
      <w:proofErr w:type="gramEnd"/>
      <w:r w:rsidRPr="00C306F9">
        <w:rPr>
          <w:rFonts w:asciiTheme="minorHAnsi" w:hAnsiTheme="minorHAnsi" w:cstheme="minorHAnsi"/>
          <w:b/>
          <w:sz w:val="23"/>
          <w:szCs w:val="23"/>
        </w:rPr>
        <w:t xml:space="preserve"> dezembro, 9h00-18h00</w:t>
      </w:r>
    </w:p>
    <w:p w:rsidR="00C306F9" w:rsidRPr="00C306F9" w:rsidRDefault="00C306F9" w:rsidP="00C306F9">
      <w:pPr>
        <w:pStyle w:val="NormalWeb"/>
        <w:jc w:val="both"/>
        <w:rPr>
          <w:rFonts w:asciiTheme="minorHAnsi" w:hAnsiTheme="minorHAnsi" w:cstheme="minorHAnsi"/>
          <w:b/>
          <w:sz w:val="23"/>
          <w:szCs w:val="23"/>
        </w:rPr>
      </w:pPr>
      <w:r w:rsidRPr="00C306F9">
        <w:rPr>
          <w:rFonts w:asciiTheme="minorHAnsi" w:hAnsiTheme="minorHAnsi" w:cstheme="minorHAnsi"/>
          <w:b/>
          <w:sz w:val="23"/>
          <w:szCs w:val="23"/>
        </w:rPr>
        <w:t>. Centro de Congressos e Exposições da Alfândega, Porto</w:t>
      </w:r>
    </w:p>
    <w:p w:rsidR="005E56B6" w:rsidRDefault="005E56B6" w:rsidP="005E56B6">
      <w:pPr>
        <w:tabs>
          <w:tab w:val="left" w:pos="3396"/>
        </w:tabs>
        <w:spacing w:after="0"/>
      </w:pPr>
    </w:p>
    <w:p w:rsidR="005E56B6" w:rsidRDefault="005E56B6" w:rsidP="005E56B6">
      <w:pPr>
        <w:tabs>
          <w:tab w:val="left" w:pos="3396"/>
        </w:tabs>
        <w:spacing w:after="0"/>
        <w:ind w:left="5664"/>
        <w:rPr>
          <w:b/>
        </w:rPr>
      </w:pPr>
    </w:p>
    <w:sectPr w:rsidR="005E56B6" w:rsidSect="00AC148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E7A" w:rsidRDefault="00562E7A" w:rsidP="00D06CA4">
      <w:pPr>
        <w:spacing w:after="0" w:line="240" w:lineRule="auto"/>
      </w:pPr>
      <w:r>
        <w:separator/>
      </w:r>
    </w:p>
  </w:endnote>
  <w:endnote w:type="continuationSeparator" w:id="0">
    <w:p w:rsidR="00562E7A" w:rsidRDefault="00562E7A" w:rsidP="00D06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C" w:rsidRPr="00E356D8" w:rsidRDefault="00555F9D" w:rsidP="00583D9C">
    <w:pPr>
      <w:pStyle w:val="Rodap"/>
      <w:jc w:val="right"/>
      <w:rPr>
        <w:rFonts w:ascii="Verdana" w:hAnsi="Verdana"/>
        <w:color w:val="7F7F7F"/>
        <w:sz w:val="14"/>
        <w:szCs w:val="14"/>
      </w:rPr>
    </w:pPr>
    <w:r w:rsidRPr="00555F9D">
      <w:rPr>
        <w:rFonts w:ascii="Verdana" w:hAnsi="Verdana"/>
        <w:color w:val="7F7F7F"/>
        <w:sz w:val="14"/>
        <w:szCs w:val="14"/>
      </w:rPr>
      <w:pict>
        <v:rect id="_x0000_i1025" style="width:0;height:1.5pt" o:hralign="center" o:hrstd="t" o:hr="t" fillcolor="#aca899" stroked="f"/>
      </w:pict>
    </w:r>
  </w:p>
  <w:p w:rsidR="00402A36" w:rsidRDefault="00402A36" w:rsidP="00583D9C">
    <w:pPr>
      <w:pStyle w:val="Rodap"/>
      <w:jc w:val="right"/>
      <w:rPr>
        <w:rFonts w:cstheme="minorHAnsi"/>
        <w:color w:val="7F7F7F"/>
        <w:sz w:val="16"/>
        <w:szCs w:val="16"/>
        <w:u w:color="003366"/>
        <w:lang w:val="fr-FR"/>
      </w:rPr>
    </w:pPr>
  </w:p>
  <w:p w:rsidR="00402A36" w:rsidRPr="00402A36" w:rsidRDefault="00402A36" w:rsidP="00583D9C">
    <w:pPr>
      <w:pStyle w:val="Rodap"/>
      <w:jc w:val="right"/>
      <w:rPr>
        <w:rFonts w:cstheme="minorHAnsi"/>
        <w:color w:val="7F7F7F"/>
        <w:sz w:val="16"/>
        <w:szCs w:val="16"/>
        <w:u w:color="003366"/>
        <w:lang w:val="fr-FR"/>
      </w:rPr>
    </w:pPr>
  </w:p>
  <w:p w:rsidR="00583D9C" w:rsidRPr="00402A36" w:rsidRDefault="00402A36">
    <w:pPr>
      <w:pStyle w:val="Rodap"/>
      <w:rPr>
        <w:lang w:val="fr-FR"/>
      </w:rPr>
    </w:pPr>
    <w:r w:rsidRPr="00402A36">
      <w:drawing>
        <wp:inline distT="0" distB="0" distL="0" distR="0">
          <wp:extent cx="720090" cy="380914"/>
          <wp:effectExtent l="19050" t="0" r="3810" b="0"/>
          <wp:docPr id="2" name="Imagem 1" descr="Logo_Compete.jpg"/>
          <wp:cNvGraphicFramePr/>
          <a:graphic xmlns:a="http://schemas.openxmlformats.org/drawingml/2006/main">
            <a:graphicData uri="http://schemas.openxmlformats.org/drawingml/2006/picture">
              <pic:pic xmlns:pic="http://schemas.openxmlformats.org/drawingml/2006/picture">
                <pic:nvPicPr>
                  <pic:cNvPr id="6" name="Imagem 7" descr="Logo_Compete.jpg"/>
                  <pic:cNvPicPr>
                    <a:picLocks noChangeAspect="1" noChangeArrowheads="1"/>
                  </pic:cNvPicPr>
                </pic:nvPicPr>
                <pic:blipFill>
                  <a:blip r:embed="rId1" cstate="print"/>
                  <a:srcRect/>
                  <a:stretch>
                    <a:fillRect/>
                  </a:stretch>
                </pic:blipFill>
                <pic:spPr bwMode="auto">
                  <a:xfrm>
                    <a:off x="0" y="0"/>
                    <a:ext cx="722763" cy="382328"/>
                  </a:xfrm>
                  <a:prstGeom prst="rect">
                    <a:avLst/>
                  </a:prstGeom>
                  <a:noFill/>
                  <a:ln w="9525">
                    <a:noFill/>
                    <a:miter lim="800000"/>
                    <a:headEnd/>
                    <a:tailEnd/>
                  </a:ln>
                </pic:spPr>
              </pic:pic>
            </a:graphicData>
          </a:graphic>
        </wp:inline>
      </w:drawing>
    </w:r>
    <w:r w:rsidRPr="00402A36">
      <w:drawing>
        <wp:inline distT="0" distB="0" distL="0" distR="0">
          <wp:extent cx="772897" cy="335280"/>
          <wp:effectExtent l="19050" t="0" r="8153" b="0"/>
          <wp:docPr id="6" name="Imagem 2" descr="qren.jpg"/>
          <wp:cNvGraphicFramePr/>
          <a:graphic xmlns:a="http://schemas.openxmlformats.org/drawingml/2006/main">
            <a:graphicData uri="http://schemas.openxmlformats.org/drawingml/2006/picture">
              <pic:pic xmlns:pic="http://schemas.openxmlformats.org/drawingml/2006/picture">
                <pic:nvPicPr>
                  <pic:cNvPr id="7" name="Imagem 8" descr="qren.jpg"/>
                  <pic:cNvPicPr>
                    <a:picLocks noChangeAspect="1" noChangeArrowheads="1"/>
                  </pic:cNvPicPr>
                </pic:nvPicPr>
                <pic:blipFill>
                  <a:blip r:embed="rId2" cstate="print"/>
                  <a:srcRect/>
                  <a:stretch>
                    <a:fillRect/>
                  </a:stretch>
                </pic:blipFill>
                <pic:spPr bwMode="auto">
                  <a:xfrm>
                    <a:off x="0" y="0"/>
                    <a:ext cx="775618" cy="336461"/>
                  </a:xfrm>
                  <a:prstGeom prst="rect">
                    <a:avLst/>
                  </a:prstGeom>
                  <a:noFill/>
                  <a:ln w="9525">
                    <a:noFill/>
                    <a:miter lim="800000"/>
                    <a:headEnd/>
                    <a:tailEnd/>
                  </a:ln>
                </pic:spPr>
              </pic:pic>
            </a:graphicData>
          </a:graphic>
        </wp:inline>
      </w:drawing>
    </w:r>
    <w:r w:rsidRPr="00402A36">
      <w:drawing>
        <wp:inline distT="0" distB="0" distL="0" distR="0">
          <wp:extent cx="1451610" cy="335280"/>
          <wp:effectExtent l="19050" t="0" r="0" b="0"/>
          <wp:docPr id="7" name="Imagem 3"/>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3" cstate="print"/>
                  <a:srcRect/>
                  <a:stretch>
                    <a:fillRect/>
                  </a:stretch>
                </pic:blipFill>
                <pic:spPr bwMode="auto">
                  <a:xfrm>
                    <a:off x="0" y="0"/>
                    <a:ext cx="1458143" cy="336789"/>
                  </a:xfrm>
                  <a:prstGeom prst="rect">
                    <a:avLst/>
                  </a:prstGeom>
                  <a:noFill/>
                  <a:ln w="9525">
                    <a:noFill/>
                    <a:miter lim="800000"/>
                    <a:headEnd/>
                    <a:tailEnd/>
                  </a:ln>
                  <a:effec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E7A" w:rsidRDefault="00562E7A" w:rsidP="00D06CA4">
      <w:pPr>
        <w:spacing w:after="0" w:line="240" w:lineRule="auto"/>
      </w:pPr>
      <w:r>
        <w:separator/>
      </w:r>
    </w:p>
  </w:footnote>
  <w:footnote w:type="continuationSeparator" w:id="0">
    <w:p w:rsidR="00562E7A" w:rsidRDefault="00562E7A" w:rsidP="00D06C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8E" w:rsidRPr="00F97C54" w:rsidRDefault="00583D9C" w:rsidP="00AC148E">
    <w:pPr>
      <w:pStyle w:val="Cabealho"/>
      <w:rPr>
        <w:color w:val="676A55" w:themeColor="text2"/>
        <w:sz w:val="16"/>
        <w:szCs w:val="16"/>
      </w:rPr>
    </w:pPr>
    <w:r w:rsidRPr="00F97C54">
      <w:rPr>
        <w:noProof/>
        <w:color w:val="676A55" w:themeColor="text2"/>
        <w:sz w:val="16"/>
        <w:szCs w:val="16"/>
      </w:rPr>
      <w:drawing>
        <wp:anchor distT="0" distB="0" distL="114300" distR="114300" simplePos="0" relativeHeight="251659264" behindDoc="1" locked="0" layoutInCell="1" allowOverlap="1">
          <wp:simplePos x="0" y="0"/>
          <wp:positionH relativeFrom="column">
            <wp:posOffset>-923925</wp:posOffset>
          </wp:positionH>
          <wp:positionV relativeFrom="paragraph">
            <wp:posOffset>-160020</wp:posOffset>
          </wp:positionV>
          <wp:extent cx="1703070" cy="475615"/>
          <wp:effectExtent l="19050" t="0" r="0" b="0"/>
          <wp:wrapTight wrapText="bothSides">
            <wp:wrapPolygon edited="0">
              <wp:start x="-242" y="0"/>
              <wp:lineTo x="-242" y="20764"/>
              <wp:lineTo x="21503" y="20764"/>
              <wp:lineTo x="21503" y="0"/>
              <wp:lineTo x="-242" y="0"/>
            </wp:wrapPolygon>
          </wp:wrapTight>
          <wp:docPr id="1" name="Imagem 0" descr="Logo Turismo 2015 para banner de t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urismo 2015 para banner de topo.PNG"/>
                  <pic:cNvPicPr/>
                </pic:nvPicPr>
                <pic:blipFill>
                  <a:blip r:embed="rId1"/>
                  <a:stretch>
                    <a:fillRect/>
                  </a:stretch>
                </pic:blipFill>
                <pic:spPr>
                  <a:xfrm>
                    <a:off x="0" y="0"/>
                    <a:ext cx="1703070" cy="475615"/>
                  </a:xfrm>
                  <a:prstGeom prst="rect">
                    <a:avLst/>
                  </a:prstGeom>
                </pic:spPr>
              </pic:pic>
            </a:graphicData>
          </a:graphic>
        </wp:anchor>
      </w:drawing>
    </w:r>
  </w:p>
  <w:p w:rsidR="00D06CA4" w:rsidRDefault="00D06CA4" w:rsidP="00D06CA4">
    <w:pPr>
      <w:pStyle w:val="Cabealho"/>
      <w:ind w:left="4248"/>
      <w:rPr>
        <w:color w:val="676A55" w:themeColor="text2"/>
      </w:rPr>
    </w:pPr>
    <w:r w:rsidRPr="00F97C54">
      <w:rPr>
        <w:color w:val="676A55" w:themeColor="text2"/>
      </w:rPr>
      <w:t xml:space="preserve">            </w:t>
    </w:r>
    <w:r w:rsidR="00F97C54" w:rsidRPr="00F97C54">
      <w:rPr>
        <w:color w:val="676A55" w:themeColor="text2"/>
      </w:rPr>
      <w:t xml:space="preserve">       </w:t>
    </w:r>
    <w:r w:rsidRPr="00F97C54">
      <w:rPr>
        <w:i/>
        <w:color w:val="676A55" w:themeColor="text2"/>
      </w:rPr>
      <w:t xml:space="preserve"> </w:t>
    </w:r>
    <w:proofErr w:type="spellStart"/>
    <w:r w:rsidR="006C7099">
      <w:rPr>
        <w:i/>
        <w:color w:val="676A55" w:themeColor="text2"/>
      </w:rPr>
      <w:t>Press</w:t>
    </w:r>
    <w:proofErr w:type="spellEnd"/>
    <w:r w:rsidR="006C7099">
      <w:rPr>
        <w:i/>
        <w:color w:val="676A55" w:themeColor="text2"/>
      </w:rPr>
      <w:t xml:space="preserve"> </w:t>
    </w:r>
    <w:proofErr w:type="spellStart"/>
    <w:proofErr w:type="gramStart"/>
    <w:r w:rsidR="006C7099">
      <w:rPr>
        <w:i/>
        <w:color w:val="676A55" w:themeColor="text2"/>
      </w:rPr>
      <w:t>Release</w:t>
    </w:r>
    <w:proofErr w:type="spellEnd"/>
    <w:r w:rsidR="006C7099">
      <w:rPr>
        <w:i/>
        <w:color w:val="676A55" w:themeColor="text2"/>
      </w:rPr>
      <w:t xml:space="preserve"> </w:t>
    </w:r>
    <w:r w:rsidRPr="00F97C54">
      <w:rPr>
        <w:color w:val="676A55" w:themeColor="text2"/>
        <w:sz w:val="18"/>
        <w:szCs w:val="18"/>
      </w:rPr>
      <w:t xml:space="preserve"> </w:t>
    </w:r>
    <w:r w:rsidRPr="006C7099">
      <w:rPr>
        <w:color w:val="676A55" w:themeColor="text2"/>
      </w:rPr>
      <w:t>Pólo</w:t>
    </w:r>
    <w:proofErr w:type="gramEnd"/>
    <w:r w:rsidRPr="006C7099">
      <w:rPr>
        <w:color w:val="676A55" w:themeColor="text2"/>
      </w:rPr>
      <w:t xml:space="preserve"> Turismo 2015</w:t>
    </w:r>
  </w:p>
  <w:p w:rsidR="00402A36" w:rsidRPr="00F97C54" w:rsidRDefault="00402A36" w:rsidP="00D06CA4">
    <w:pPr>
      <w:pStyle w:val="Cabealho"/>
      <w:ind w:left="4248"/>
      <w:rPr>
        <w:color w:val="676A55" w:themeColor="text2"/>
        <w:sz w:val="18"/>
        <w:szCs w:val="18"/>
      </w:rPr>
    </w:pPr>
  </w:p>
  <w:p w:rsidR="00F97C54" w:rsidRPr="00E356D8" w:rsidRDefault="00555F9D" w:rsidP="00F97C54">
    <w:pPr>
      <w:pStyle w:val="Rodap"/>
      <w:jc w:val="right"/>
      <w:rPr>
        <w:rFonts w:ascii="Verdana" w:hAnsi="Verdana"/>
        <w:color w:val="7F7F7F"/>
        <w:sz w:val="14"/>
        <w:szCs w:val="14"/>
      </w:rPr>
    </w:pPr>
    <w:r w:rsidRPr="00555F9D">
      <w:rPr>
        <w:rFonts w:ascii="Verdana" w:hAnsi="Verdana"/>
        <w:color w:val="7F7F7F"/>
        <w:sz w:val="14"/>
        <w:szCs w:val="14"/>
      </w:rPr>
      <w:pict>
        <v:rect id="_x0000_i1026" style="width:0;height:1.5pt" o:hralign="center" o:hrstd="t" o:hr="t" fillcolor="#aca899" stroked="f"/>
      </w:pict>
    </w:r>
  </w:p>
  <w:p w:rsidR="00F97C54" w:rsidRDefault="00F97C54" w:rsidP="00D06CA4">
    <w:pPr>
      <w:pStyle w:val="Cabealho"/>
      <w:ind w:left="4248"/>
      <w:rPr>
        <w:sz w:val="20"/>
        <w:szCs w:val="20"/>
      </w:rPr>
    </w:pPr>
  </w:p>
  <w:p w:rsidR="00AC148E" w:rsidRPr="00D06CA4" w:rsidRDefault="00AC148E" w:rsidP="00D06CA4">
    <w:pPr>
      <w:pStyle w:val="Cabealho"/>
      <w:ind w:left="4248"/>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useFELayout/>
  </w:compat>
  <w:rsids>
    <w:rsidRoot w:val="00330AD2"/>
    <w:rsid w:val="00071EEE"/>
    <w:rsid w:val="00072C71"/>
    <w:rsid w:val="000E58FD"/>
    <w:rsid w:val="000F2ECB"/>
    <w:rsid w:val="00132237"/>
    <w:rsid w:val="0015706A"/>
    <w:rsid w:val="002249D4"/>
    <w:rsid w:val="00242B2E"/>
    <w:rsid w:val="002934E3"/>
    <w:rsid w:val="002A20B8"/>
    <w:rsid w:val="002B493A"/>
    <w:rsid w:val="002C20D0"/>
    <w:rsid w:val="002E54D9"/>
    <w:rsid w:val="00313EEE"/>
    <w:rsid w:val="00330AD2"/>
    <w:rsid w:val="00340EC0"/>
    <w:rsid w:val="00375A25"/>
    <w:rsid w:val="003A0107"/>
    <w:rsid w:val="003E6051"/>
    <w:rsid w:val="00402A36"/>
    <w:rsid w:val="004347A3"/>
    <w:rsid w:val="00477CD7"/>
    <w:rsid w:val="00555F9D"/>
    <w:rsid w:val="00562E7A"/>
    <w:rsid w:val="0057739A"/>
    <w:rsid w:val="00583D9C"/>
    <w:rsid w:val="0059315B"/>
    <w:rsid w:val="005A2E11"/>
    <w:rsid w:val="005B537D"/>
    <w:rsid w:val="005E2821"/>
    <w:rsid w:val="005E56B6"/>
    <w:rsid w:val="00605DE9"/>
    <w:rsid w:val="006169B7"/>
    <w:rsid w:val="00692B66"/>
    <w:rsid w:val="006C7099"/>
    <w:rsid w:val="006E3D3F"/>
    <w:rsid w:val="0072309B"/>
    <w:rsid w:val="007B22B0"/>
    <w:rsid w:val="0088006E"/>
    <w:rsid w:val="00891EFF"/>
    <w:rsid w:val="008C2322"/>
    <w:rsid w:val="008C3063"/>
    <w:rsid w:val="008E3776"/>
    <w:rsid w:val="009109F5"/>
    <w:rsid w:val="00913D39"/>
    <w:rsid w:val="00933B70"/>
    <w:rsid w:val="00995AF9"/>
    <w:rsid w:val="009A0800"/>
    <w:rsid w:val="009D6C6F"/>
    <w:rsid w:val="009D71A4"/>
    <w:rsid w:val="009D744B"/>
    <w:rsid w:val="00A73392"/>
    <w:rsid w:val="00AC148E"/>
    <w:rsid w:val="00B12D06"/>
    <w:rsid w:val="00B15C6E"/>
    <w:rsid w:val="00B91E9C"/>
    <w:rsid w:val="00BE6A89"/>
    <w:rsid w:val="00C125DF"/>
    <w:rsid w:val="00C21FE5"/>
    <w:rsid w:val="00C306F9"/>
    <w:rsid w:val="00C41151"/>
    <w:rsid w:val="00C91B34"/>
    <w:rsid w:val="00CA3637"/>
    <w:rsid w:val="00CA75C1"/>
    <w:rsid w:val="00D06CA4"/>
    <w:rsid w:val="00D472C4"/>
    <w:rsid w:val="00DA23E4"/>
    <w:rsid w:val="00DB2662"/>
    <w:rsid w:val="00DB55CE"/>
    <w:rsid w:val="00DE0D47"/>
    <w:rsid w:val="00E42C92"/>
    <w:rsid w:val="00E805E1"/>
    <w:rsid w:val="00E84AD9"/>
    <w:rsid w:val="00ED4B0D"/>
    <w:rsid w:val="00F04C4F"/>
    <w:rsid w:val="00F26008"/>
    <w:rsid w:val="00F32058"/>
    <w:rsid w:val="00F63B3E"/>
    <w:rsid w:val="00F64D50"/>
    <w:rsid w:val="00F726E2"/>
    <w:rsid w:val="00F97C54"/>
    <w:rsid w:val="00FD1E29"/>
    <w:rsid w:val="00FE7F6C"/>
    <w:rsid w:val="00FF3485"/>
  </w:rsids>
  <m:mathPr>
    <m:mathFont m:val="Cambria Math"/>
    <m:brkBin m:val="before"/>
    <m:brkBinSub m:val="--"/>
    <m:smallFrac m:val="off"/>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B6"/>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91B34"/>
    <w:pPr>
      <w:spacing w:after="0" w:line="240" w:lineRule="auto"/>
    </w:pPr>
  </w:style>
  <w:style w:type="paragraph" w:customStyle="1" w:styleId="Default">
    <w:name w:val="Default"/>
    <w:rsid w:val="009A0800"/>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arcter"/>
    <w:uiPriority w:val="99"/>
    <w:unhideWhenUsed/>
    <w:rsid w:val="00D06CA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06CA4"/>
  </w:style>
  <w:style w:type="paragraph" w:styleId="Rodap">
    <w:name w:val="footer"/>
    <w:basedOn w:val="Normal"/>
    <w:link w:val="RodapCarcter"/>
    <w:uiPriority w:val="99"/>
    <w:unhideWhenUsed/>
    <w:rsid w:val="00D06CA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06CA4"/>
  </w:style>
  <w:style w:type="paragraph" w:styleId="NormalWeb">
    <w:name w:val="Normal (Web)"/>
    <w:basedOn w:val="Normal"/>
    <w:uiPriority w:val="99"/>
    <w:unhideWhenUsed/>
    <w:rsid w:val="006C7099"/>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arcter"/>
    <w:uiPriority w:val="99"/>
    <w:semiHidden/>
    <w:unhideWhenUsed/>
    <w:rsid w:val="00402A3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02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Personalizado 1">
      <a:dk1>
        <a:sysClr val="windowText" lastClr="000000"/>
      </a:dk1>
      <a:lt1>
        <a:sysClr val="window" lastClr="FFFFFF"/>
      </a:lt1>
      <a:dk2>
        <a:srgbClr val="676A55"/>
      </a:dk2>
      <a:lt2>
        <a:srgbClr val="EAEBDE"/>
      </a:lt2>
      <a:accent1>
        <a:srgbClr val="00B050"/>
      </a:accent1>
      <a:accent2>
        <a:srgbClr val="92D05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ines.costa</dc:creator>
  <cp:lastModifiedBy>ines.costa</cp:lastModifiedBy>
  <cp:revision>6</cp:revision>
  <dcterms:created xsi:type="dcterms:W3CDTF">2011-06-30T08:08:00Z</dcterms:created>
  <dcterms:modified xsi:type="dcterms:W3CDTF">2011-12-16T23:38:00Z</dcterms:modified>
</cp:coreProperties>
</file>